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  <w:t>项目采购要求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项目基本情况：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服务/货物采购内容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　围绕提供的主题，拍摄制作七部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宣传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视频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制作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河北经济日报宣传单，共计：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21000单宣传单。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　拍摄地点：唐山市丰南、丰润、遵化、迁安、滦南、玉田、曹妃甸等7个县市区。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服务/货物采购要求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七部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宣传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视频（每部视频2-4分钟）。包括拍摄策划、后期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配音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、特效合成等。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 w:firstLine="240" w:firstLineChars="100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宣传单尺寸：210mm*297mm，像素：100dpi。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报价单（项目部门自拟格式）：</w:t>
      </w:r>
    </w:p>
    <w:tbl>
      <w:tblPr>
        <w:tblStyle w:val="6"/>
        <w:tblpPr w:leftFromText="180" w:rightFromText="180" w:vertAnchor="text" w:horzAnchor="page" w:tblpXSpec="center" w:tblpY="13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290"/>
        <w:gridCol w:w="982"/>
        <w:gridCol w:w="124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总价/元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一、策划方案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文案、策划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分镜头脚本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二、前期拍摄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摄影/导演/群演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灯光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拍摄耗材/专业设备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场地/道具/交通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三、后期制作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声音合成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过场动画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后期剪辑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后期包装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Align w:val="center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四、宣传单制作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河北经济日报宣传单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0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合计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投标文件报送要求：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1.服务商根据项目概况、采购清单等信息制定投标材料，至少应包含投标人资格证明材料、公司简介、报价单以及特别注明应提供的其他材料等。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.所有报送材料均需加盖公章；报价单在公司名称处加盖公章，报价需求至少三个自然月内有效，若发现缺章、漏章、涂改等现象，报价单视为无效；报送材料密封在档案袋中，需要档案袋外粘贴密封条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8EE5EA"/>
    <w:multiLevelType w:val="singleLevel"/>
    <w:tmpl w:val="A78EE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A1130B"/>
    <w:multiLevelType w:val="singleLevel"/>
    <w:tmpl w:val="79A113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16CF"/>
    <w:rsid w:val="0E9618F3"/>
    <w:rsid w:val="0F900551"/>
    <w:rsid w:val="0FF669B2"/>
    <w:rsid w:val="100C5991"/>
    <w:rsid w:val="108016CF"/>
    <w:rsid w:val="1FF0469F"/>
    <w:rsid w:val="44C06093"/>
    <w:rsid w:val="6B7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3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2022-01-04T00:46:00Z</dcterms:created>
  <dc:creator>MrY1400052640</dc:creator>
  <cp:lastModifiedBy>MrY1400052640</cp:lastModifiedBy>
  <dcterms:modified xsi:type="dcterms:W3CDTF">2022-01-04T02:49:45Z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D6E602FB394640AFB51B3DCC35606E37</vt:lpwstr>
  </property>
</Properties>
</file>