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bookmarkStart w:id="17" w:name="_GoBack"/>
      <w:bookmarkEnd w:id="17"/>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spacing w:before="468" w:beforeLines="150" w:line="360" w:lineRule="auto"/>
        <w:ind w:right="-170"/>
        <w:jc w:val="center"/>
        <w:rPr>
          <w:rFonts w:hint="eastAsia" w:ascii="宋体" w:hAnsi="宋体"/>
          <w:b/>
          <w:bCs/>
          <w:sz w:val="46"/>
          <w:szCs w:val="48"/>
          <w:highlight w:val="none"/>
        </w:rPr>
      </w:pPr>
      <w:r>
        <w:rPr>
          <w:rFonts w:hint="eastAsia" w:ascii="宋体" w:hAnsi="宋体"/>
          <w:b/>
          <w:bCs/>
          <w:spacing w:val="-6"/>
          <w:sz w:val="52"/>
          <w:szCs w:val="48"/>
          <w:highlight w:val="none"/>
          <w:lang w:val="en-US" w:eastAsia="zh-CN"/>
        </w:rPr>
        <w:t>聊城应急广播</w:t>
      </w:r>
      <w:r>
        <w:rPr>
          <w:rFonts w:hint="eastAsia" w:ascii="宋体" w:hAnsi="宋体"/>
          <w:b/>
          <w:bCs/>
          <w:spacing w:val="-6"/>
          <w:sz w:val="52"/>
          <w:szCs w:val="48"/>
          <w:highlight w:val="none"/>
        </w:rPr>
        <w:t>项目</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 xml:space="preserve">供  应 </w:t>
      </w:r>
      <w:r>
        <w:rPr>
          <w:rFonts w:ascii="宋体" w:hAnsi="宋体"/>
          <w:bCs/>
          <w:sz w:val="28"/>
        </w:rPr>
        <w:t xml:space="preserve"> </w:t>
      </w:r>
      <w:r>
        <w:rPr>
          <w:rFonts w:hint="eastAsia" w:ascii="宋体" w:hAnsi="宋体"/>
          <w:bCs/>
          <w:sz w:val="28"/>
        </w:rPr>
        <w:t>商：</w:t>
      </w:r>
      <w:r>
        <w:rPr>
          <w:rFonts w:hint="eastAsia" w:ascii="宋体" w:hAnsi="宋体"/>
          <w:bCs/>
          <w:sz w:val="28"/>
          <w:u w:val="single"/>
        </w:rPr>
        <w:t xml:space="preserve">                     （公章）  </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  </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rPr>
        <w:t xml:space="preserve">                               </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3253"/>
      <w:bookmarkStart w:id="1" w:name="_Toc16025318"/>
      <w:bookmarkStart w:id="2" w:name="_Toc16025320"/>
      <w:bookmarkStart w:id="3" w:name="_Toc16625"/>
      <w:r>
        <w:rPr>
          <w:rFonts w:hint="eastAsia" w:ascii="宋体" w:hAnsi="宋体"/>
          <w:b/>
          <w:bCs/>
          <w:sz w:val="30"/>
          <w:szCs w:val="30"/>
        </w:rPr>
        <w:t>一、</w:t>
      </w:r>
      <w:bookmarkEnd w:id="0"/>
      <w:bookmarkEnd w:id="1"/>
      <w:bookmarkStart w:id="4" w:name="_Toc16025319"/>
      <w:bookmarkStart w:id="5" w:name="_Toc18895"/>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firstLine="5246" w:firstLineChars="2186"/>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（公章）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spacing w:line="360" w:lineRule="auto"/>
        <w:ind w:firstLine="602" w:firstLineChars="200"/>
        <w:jc w:val="center"/>
        <w:rPr>
          <w:rFonts w:ascii="宋体" w:hAnsi="宋体"/>
          <w:b/>
          <w:bCs/>
          <w:sz w:val="30"/>
          <w:szCs w:val="30"/>
        </w:rPr>
      </w:pPr>
    </w:p>
    <w:p>
      <w:pPr>
        <w:pStyle w:val="2"/>
        <w:rPr>
          <w:rFonts w:ascii="宋体" w:hAnsi="宋体"/>
          <w:b/>
          <w:bCs/>
          <w:sz w:val="30"/>
          <w:szCs w:val="30"/>
        </w:rPr>
      </w:pPr>
    </w:p>
    <w:p>
      <w:pPr>
        <w:pStyle w:val="2"/>
        <w:rPr>
          <w:rFonts w:ascii="宋体" w:hAnsi="宋体"/>
          <w:b/>
          <w:bCs/>
          <w:sz w:val="30"/>
          <w:szCs w:val="30"/>
        </w:rPr>
      </w:pPr>
    </w:p>
    <w:p>
      <w:pPr>
        <w:pStyle w:val="2"/>
        <w:rPr>
          <w:rFonts w:ascii="宋体" w:hAnsi="宋体"/>
          <w:b/>
          <w:bCs/>
          <w:sz w:val="30"/>
          <w:szCs w:val="30"/>
        </w:rPr>
      </w:pPr>
    </w:p>
    <w:p>
      <w:pPr>
        <w:spacing w:line="360" w:lineRule="auto"/>
        <w:ind w:firstLine="602" w:firstLineChars="200"/>
        <w:jc w:val="center"/>
        <w:rPr>
          <w:rFonts w:hint="eastAsia" w:ascii="宋体" w:hAnsi="宋体"/>
          <w:b/>
          <w:bCs/>
          <w:sz w:val="30"/>
          <w:szCs w:val="30"/>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2"/>
      <w:bookmarkEnd w:id="3"/>
    </w:p>
    <w:p>
      <w:pPr>
        <w:spacing w:before="156" w:beforeLines="50" w:line="360" w:lineRule="auto"/>
        <w:ind w:firstLine="480" w:firstLineChars="200"/>
        <w:rPr>
          <w:rFonts w:hint="eastAsia" w:ascii="宋体" w:hAnsi="宋体"/>
          <w:color w:val="000000"/>
          <w:sz w:val="24"/>
          <w:szCs w:val="24"/>
        </w:rPr>
      </w:pPr>
      <w:bookmarkStart w:id="7"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项目响应文件的法定代表人授权委托代理人，我承认代理人全权代表我所签署的本项目响应文件的全部内容。</w:t>
      </w:r>
    </w:p>
    <w:p>
      <w:pPr>
        <w:pStyle w:val="5"/>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before="468" w:beforeLines="150" w:line="360" w:lineRule="auto"/>
        <w:jc w:val="center"/>
        <w:rPr>
          <w:rFonts w:hint="eastAsia" w:ascii="宋体" w:hAnsi="宋体"/>
          <w:sz w:val="30"/>
          <w:szCs w:val="30"/>
        </w:rPr>
      </w:pPr>
      <w:r>
        <w:rPr>
          <w:rFonts w:ascii="宋体" w:hAnsi="宋体"/>
          <w:b/>
          <w:sz w:val="24"/>
          <w:szCs w:val="24"/>
        </w:rPr>
        <w:br w:type="page"/>
      </w:r>
      <w:bookmarkStart w:id="8" w:name="_Toc16025321"/>
      <w:bookmarkStart w:id="9" w:name="_Toc32234"/>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8"/>
      <w:bookmarkEnd w:id="9"/>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河北长城新媒体科技有限公司</w:t>
      </w:r>
    </w:p>
    <w:p>
      <w:pPr>
        <w:pStyle w:val="4"/>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4"/>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rPr>
        <w:t xml:space="preserve">       </w:t>
      </w:r>
      <w:r>
        <w:rPr>
          <w:spacing w:val="12"/>
          <w:sz w:val="24"/>
          <w:szCs w:val="24"/>
        </w:rPr>
        <w:t>：(小写：</w:t>
      </w:r>
      <w:r>
        <w:rPr>
          <w:rFonts w:hint="eastAsia"/>
          <w:spacing w:val="12"/>
          <w:sz w:val="24"/>
          <w:szCs w:val="24"/>
          <w:u w:val="single"/>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rPr>
        <w:t xml:space="preserve">        </w:t>
      </w:r>
      <w:r>
        <w:rPr>
          <w:sz w:val="24"/>
          <w:szCs w:val="24"/>
        </w:rPr>
        <w:t>。</w:t>
      </w:r>
    </w:p>
    <w:p>
      <w:pPr>
        <w:pStyle w:val="4"/>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4"/>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4"/>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rPr>
        <w:t>60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jc w:val="center"/>
        <w:rPr>
          <w:rFonts w:hint="eastAsia" w:ascii="宋体" w:hAnsi="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bookmarkStart w:id="10" w:name="_Toc16293"/>
      <w:bookmarkStart w:id="11" w:name="_Toc16025323"/>
      <w:r>
        <w:rPr>
          <w:rFonts w:ascii="宋体" w:hAnsi="宋体"/>
          <w:b w:val="0"/>
          <w:bCs w:val="0"/>
          <w:sz w:val="30"/>
          <w:szCs w:val="30"/>
        </w:rPr>
        <w:br w:type="page"/>
      </w:r>
      <w:bookmarkStart w:id="12"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2"/>
      <w:r>
        <w:rPr>
          <w:rFonts w:hint="eastAsia" w:ascii="宋体" w:hAnsi="宋体"/>
          <w:b/>
          <w:bCs/>
          <w:sz w:val="30"/>
          <w:szCs w:val="30"/>
          <w:lang w:eastAsia="zh-CN"/>
        </w:rPr>
        <w:t>（</w:t>
      </w:r>
      <w:r>
        <w:rPr>
          <w:rFonts w:hint="eastAsia" w:ascii="宋体" w:hAnsi="宋体"/>
          <w:b/>
          <w:bCs/>
          <w:sz w:val="30"/>
          <w:szCs w:val="30"/>
          <w:lang w:val="en-US" w:eastAsia="zh-CN"/>
        </w:rPr>
        <w:t>格式自拟</w:t>
      </w:r>
      <w:r>
        <w:rPr>
          <w:rFonts w:hint="eastAsia" w:ascii="宋体" w:hAnsi="宋体"/>
          <w:b/>
          <w:bCs/>
          <w:sz w:val="30"/>
          <w:szCs w:val="30"/>
          <w:lang w:eastAsia="zh-CN"/>
        </w:rPr>
        <w:t>）</w:t>
      </w:r>
    </w:p>
    <w:p>
      <w:pPr>
        <w:bidi w:val="0"/>
        <w:rPr>
          <w:rFonts w:hint="eastAsia"/>
          <w:lang w:eastAsia="zh-CN"/>
        </w:rPr>
      </w:pPr>
      <w:r>
        <w:rPr>
          <w:rFonts w:hint="eastAsia"/>
          <w:lang w:eastAsia="zh-CN"/>
        </w:rPr>
        <w:t>（</w:t>
      </w:r>
      <w:r>
        <w:rPr>
          <w:rFonts w:hint="eastAsia"/>
          <w:lang w:val="en-US" w:eastAsia="zh-CN"/>
        </w:rPr>
        <w:t>详见清单</w:t>
      </w:r>
      <w:r>
        <w:rPr>
          <w:rFonts w:hint="eastAsia"/>
          <w:lang w:eastAsia="zh-CN"/>
        </w:rPr>
        <w:t>）</w:t>
      </w:r>
    </w:p>
    <w:p>
      <w:pPr>
        <w:bidi w:val="0"/>
        <w:rPr>
          <w:rFonts w:hint="eastAsia"/>
          <w:lang w:eastAsia="zh-CN"/>
        </w:rPr>
      </w:pPr>
    </w:p>
    <w:p>
      <w:pPr>
        <w:bidi w:val="0"/>
        <w:rPr>
          <w:rFonts w:hint="eastAsia"/>
          <w:lang w:eastAsia="zh-CN"/>
        </w:rPr>
      </w:pPr>
    </w:p>
    <w:p>
      <w:pPr>
        <w:bidi w:val="0"/>
        <w:rPr>
          <w:rFonts w:hint="eastAsia"/>
          <w:lang w:eastAsia="zh-CN"/>
        </w:rPr>
      </w:pPr>
    </w:p>
    <w:p>
      <w:pPr>
        <w:pStyle w:val="7"/>
        <w:ind w:firstLine="360" w:firstLineChars="150"/>
        <w:jc w:val="left"/>
        <w:outlineLvl w:val="9"/>
        <w:rPr>
          <w:rFonts w:hint="eastAsia" w:ascii="宋体" w:hAnsi="宋体"/>
          <w:b w:val="0"/>
          <w:bCs w:val="0"/>
          <w:sz w:val="24"/>
          <w:szCs w:val="24"/>
        </w:rPr>
      </w:pPr>
      <w:bookmarkStart w:id="13" w:name="_Toc15627760"/>
      <w:r>
        <w:rPr>
          <w:rFonts w:hint="eastAsia" w:ascii="宋体" w:hAnsi="宋体"/>
          <w:b w:val="0"/>
          <w:bCs w:val="0"/>
          <w:sz w:val="24"/>
          <w:szCs w:val="24"/>
        </w:rPr>
        <w:t>注：</w:t>
      </w:r>
      <w:bookmarkEnd w:id="13"/>
      <w:r>
        <w:rPr>
          <w:rFonts w:hint="eastAsia" w:ascii="宋体" w:hAnsi="宋体"/>
          <w:b w:val="0"/>
          <w:bCs w:val="0"/>
          <w:sz w:val="24"/>
          <w:szCs w:val="24"/>
        </w:rPr>
        <w:t>1、表格不足可扩展、续填，但不可缺项。</w:t>
      </w:r>
    </w:p>
    <w:p>
      <w:pPr>
        <w:pStyle w:val="7"/>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center"/>
        <w:rPr>
          <w:rFonts w:hint="eastAsia" w:ascii="宋体" w:hAnsi="宋体"/>
          <w:b/>
          <w:bCs/>
          <w:sz w:val="30"/>
          <w:szCs w:val="30"/>
        </w:rPr>
      </w:pPr>
    </w:p>
    <w:p>
      <w:pPr>
        <w:tabs>
          <w:tab w:val="left" w:pos="360"/>
        </w:tabs>
        <w:spacing w:before="468" w:beforeLines="150" w:after="156" w:afterLines="50"/>
        <w:jc w:val="center"/>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0"/>
      <w:bookmarkEnd w:id="11"/>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0"/>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4" w:name="_Toc7148"/>
      <w:bookmarkStart w:id="15" w:name="_Toc16025324"/>
    </w:p>
    <w:p>
      <w:pPr>
        <w:pStyle w:val="10"/>
        <w:spacing w:line="500" w:lineRule="exact"/>
        <w:jc w:val="center"/>
        <w:rPr>
          <w:rFonts w:hint="eastAsia" w:ascii="宋体" w:hAnsi="宋体" w:cs="宋体"/>
          <w:b/>
          <w:bCs w:val="0"/>
          <w:kern w:val="0"/>
          <w:sz w:val="30"/>
          <w:szCs w:val="30"/>
          <w:lang w:eastAsia="zh-CN"/>
        </w:rPr>
      </w:pPr>
    </w:p>
    <w:p>
      <w:pPr>
        <w:pStyle w:val="10"/>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0"/>
        <w:spacing w:line="500" w:lineRule="exact"/>
        <w:jc w:val="center"/>
        <w:rPr>
          <w:rFonts w:hint="eastAsia" w:ascii="宋体" w:hAnsi="宋体" w:cs="宋体"/>
          <w:b/>
          <w:bCs w:val="0"/>
          <w:kern w:val="0"/>
          <w:sz w:val="30"/>
          <w:szCs w:val="30"/>
          <w:lang w:eastAsia="zh-CN"/>
        </w:rPr>
      </w:pPr>
    </w:p>
    <w:p>
      <w:pPr>
        <w:pStyle w:val="10"/>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0"/>
        <w:spacing w:line="500" w:lineRule="exact"/>
        <w:jc w:val="center"/>
        <w:rPr>
          <w:rFonts w:hint="eastAsia" w:ascii="宋体" w:hAnsi="宋体" w:cs="宋体"/>
          <w:b/>
          <w:bCs w:val="0"/>
          <w:kern w:val="0"/>
          <w:sz w:val="30"/>
          <w:szCs w:val="30"/>
          <w:lang w:eastAsia="zh-CN"/>
        </w:rPr>
      </w:pPr>
    </w:p>
    <w:p>
      <w:pPr>
        <w:pStyle w:val="10"/>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XXXXXXXXX</w:t>
      </w:r>
    </w:p>
    <w:p>
      <w:pPr>
        <w:pStyle w:val="10"/>
        <w:spacing w:line="500" w:lineRule="exact"/>
        <w:ind w:firstLine="480" w:firstLineChars="200"/>
        <w:rPr>
          <w:rFonts w:hint="eastAsia" w:ascii="宋体" w:hAnsi="宋体" w:cs="宋体"/>
          <w:color w:val="000000"/>
          <w:sz w:val="24"/>
          <w:szCs w:val="24"/>
        </w:rPr>
      </w:pPr>
      <w:r>
        <w:rPr>
          <w:sz w:val="24"/>
          <w:szCs w:val="24"/>
        </w:rPr>
        <w:t>我方全面研究了</w:t>
      </w:r>
      <w:r>
        <w:rPr>
          <w:sz w:val="24"/>
          <w:szCs w:val="24"/>
          <w:u w:val="single"/>
        </w:rPr>
        <w:t>（项目名称）</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特郑重承若我方有能力完成本项目。</w:t>
      </w:r>
    </w:p>
    <w:p>
      <w:pPr>
        <w:pStyle w:val="10"/>
        <w:spacing w:line="500" w:lineRule="exact"/>
        <w:ind w:firstLine="480" w:firstLineChars="200"/>
        <w:rPr>
          <w:rFonts w:hint="eastAsia" w:ascii="宋体" w:hAnsi="宋体" w:cs="宋体"/>
          <w:color w:val="000000"/>
          <w:sz w:val="24"/>
          <w:szCs w:val="24"/>
        </w:rPr>
      </w:pPr>
    </w:p>
    <w:p>
      <w:pPr>
        <w:pStyle w:val="10"/>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4"/>
        <w:rPr>
          <w:color w:val="000000"/>
          <w:sz w:val="24"/>
          <w:szCs w:val="24"/>
        </w:rPr>
      </w:pPr>
    </w:p>
    <w:p>
      <w:pPr>
        <w:pStyle w:val="4"/>
        <w:rPr>
          <w:color w:val="000000"/>
          <w:sz w:val="24"/>
          <w:szCs w:val="24"/>
        </w:rPr>
      </w:pPr>
    </w:p>
    <w:p>
      <w:pPr>
        <w:pStyle w:val="4"/>
        <w:rPr>
          <w:color w:val="000000"/>
          <w:sz w:val="24"/>
          <w:szCs w:val="24"/>
        </w:rPr>
      </w:pPr>
    </w:p>
    <w:p>
      <w:pPr>
        <w:pStyle w:val="10"/>
        <w:spacing w:line="500" w:lineRule="exact"/>
        <w:ind w:firstLine="504" w:firstLineChars="200"/>
        <w:rPr>
          <w:rFonts w:ascii="宋体" w:hAnsi="宋体" w:cs="宋体"/>
          <w:color w:val="000000"/>
          <w:spacing w:val="6"/>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4"/>
      <w:bookmarkStart w:id="16" w:name="_Toc20152"/>
      <w:r>
        <w:rPr>
          <w:rFonts w:hint="eastAsia" w:ascii="宋体" w:hAnsi="宋体"/>
          <w:b/>
          <w:color w:val="000000"/>
          <w:sz w:val="30"/>
          <w:szCs w:val="30"/>
        </w:rPr>
        <w:t>企业概况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5"/>
    <w:bookmarkEnd w:id="16"/>
    <w:p>
      <w:pPr>
        <w:autoSpaceDE w:val="0"/>
        <w:autoSpaceDN w:val="0"/>
        <w:adjustRightInd w:val="0"/>
        <w:spacing w:before="468" w:beforeLines="150" w:line="360" w:lineRule="auto"/>
        <w:jc w:val="center"/>
      </w:pPr>
    </w:p>
    <w:p>
      <w:r>
        <w:br w:type="page"/>
      </w:r>
    </w:p>
    <w:p>
      <w:pPr>
        <w:bidi w:val="0"/>
        <w:rPr>
          <w:rFonts w:hint="eastAsia" w:eastAsia="宋体"/>
          <w:b/>
          <w:bCs/>
          <w:sz w:val="32"/>
          <w:szCs w:val="40"/>
          <w:lang w:val="en-US" w:eastAsia="zh-CN"/>
        </w:rPr>
      </w:pPr>
      <w:r>
        <w:rPr>
          <w:rFonts w:hint="eastAsia"/>
          <w:b/>
          <w:bCs/>
          <w:sz w:val="32"/>
          <w:szCs w:val="40"/>
          <w:lang w:val="en-US" w:eastAsia="zh-CN"/>
        </w:rPr>
        <w:t>网络设备</w:t>
      </w:r>
    </w:p>
    <w:p>
      <w:pPr>
        <w:bidi w:val="0"/>
      </w:pPr>
    </w:p>
    <w:p>
      <w:pPr>
        <w:bidi w:val="0"/>
      </w:pPr>
    </w:p>
    <w:tbl>
      <w:tblPr>
        <w:tblStyle w:val="8"/>
        <w:tblW w:w="99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685"/>
        <w:gridCol w:w="1471"/>
        <w:gridCol w:w="1134"/>
        <w:gridCol w:w="709"/>
        <w:gridCol w:w="709"/>
        <w:gridCol w:w="992"/>
        <w:gridCol w:w="992"/>
        <w:gridCol w:w="3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序号</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产品名称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品牌型号</w:t>
            </w: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数量</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总结</w:t>
            </w: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参数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核心交换机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交换容量 49.2Tbps/164.2Tbps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包转发率 10076Mpps/36880Mpps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主控板槽位：2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业务槽位：3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电源槽位：3</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外形尺寸（宽× 深×高）（mm） 482×377×178（4U）</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IPv4：支持静态路由、RIP v1/v2、OSPF、BGP 支持策略路由 支持等价路由实现负载均衡 支持 OSPF、BGP 的 Graceful Restart 支持 BFD for OSPF、BGP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IPv6：支持 ICMPv6、DHCPv6、ACLv6、IPv6 Telnet 支持 IPv6 邻居发现 支持 Path MTU 发现 支持 MLD 、MLD Snooping 支持 IPv6 静态路由、RIPng、OSPFv3、BGP4+</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支持双向 ACL，ACL：4K，</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MAC 表：288K，路由表：256K，ARP 表：170K；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 24 个千兆电口， 8 个万兆光口（带模块）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接入交换机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color w:val="000000" w:themeColor="text1"/>
                <w14:textFill>
                  <w14:solidFill>
                    <w14:schemeClr w14:val="tx1"/>
                  </w14:solidFill>
                </w14:textFill>
              </w:rPr>
              <w:t>19</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接口数量：24*千兆以太网口;4*1G/2.5G SFP光口.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 个 Console 口，1 个 Manage 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交换性能336Gbps/3.36Tbps；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包转发率96Mpps/126Mpps；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支持16K MAC 地址；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ARP 表：512；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支持二层广播、配置静态 IP地址、DHCP；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支持静态路由、OSPF、RIP等动态路由</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 IPv4静态路由，支持 RIPv1/2、OSPF 等 IPv4 动态路由协议 支持策略路由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 IPV6 静态路由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3</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应用服务器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color w:val="000000" w:themeColor="text1"/>
                <w14:textFill>
                  <w14:solidFill>
                    <w14:schemeClr w14:val="tx1"/>
                  </w14:solidFill>
                </w14:textFill>
              </w:rPr>
              <w:t>10</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1.机箱：2U机架式机箱，含 19 英寸标准服务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器安装导轨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2.CPU：双英特尔至强处理器，双路十核，主频 2.2DHz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3.内存：双内存 16G 容量 DDR4 内存，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 24 条内存插槽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4.硬盘：1.2TB 热插拔 SAS 硬盘，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硬盘盘位 12 位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5.网卡：2 个千兆电口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6.电源：2 个 550W 热插拔电源，1+1 冗余</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配置: 2*4114/ 2*16G/ 4T/ R1/ 2GE/ 2*550W</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数据库服务器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default" w:eastAsia="宋体"/>
                <w:color w:val="000000" w:themeColor="text1"/>
                <w:lang w:val="en-US"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default" w:eastAsia="宋体"/>
                <w:color w:val="000000" w:themeColor="text1"/>
                <w:lang w:val="en-US" w:eastAsia="zh-CN"/>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1.机箱：2U机架式机箱，含 19 英寸标准服务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器安装导轨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2.CPU：双英特尔至强处理器，双路十核，主频 2.2DHz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3.内存：双内存 16G 容量 DDR4 内存，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 24 条内存插槽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4.硬盘：1.2TB 热插拔 SAS 硬盘，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硬盘盘位 12 位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5.网卡：2 个千兆电口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6.电源：2 个 550W 热插拔电源，1+1 冗余</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配置: 2*4114/ 2*16G/ 2*4T/ R1/ 2GE/ 2*550W</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监控服务器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default" w:eastAsia="宋体"/>
                <w:color w:val="000000" w:themeColor="text1"/>
                <w:lang w:val="en-US"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default"/>
                <w:color w:val="000000" w:themeColor="text1"/>
                <w:lang w:val="en-US"/>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内存：16G 硬盘：2*1.2T R1 电源：2 个 550W 电源Windows server 2016 系统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防火墙</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支持网络层吞吐量为3G，应用层吞吐量 600M，并发连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接数 80 万，HTTP 新建连接数 1.8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万；硬件规格 1U，内存大小 2G，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硬盘容量 64G SSD，单电源，接口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为 6 千兆电口。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功能参数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支持路由、透明、虚拟网线、旁路镜像、混合等多种部署方式，适应复杂使用环境的接入要求。</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 具备链路故障检测功能，通过ARP、DNS、PING协议等方式检测目标主机的可达性，确认接口链路是否有效，并可自定义检测频率。</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 具备静态路由和多播路由，支持RIP、OSPF、BGP等动态路由协议。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 支持基于IP地址、端口、地域、协议、应用等维度配置策略路由策略，支持多种负载均衡算法，包括加权、带宽比例、轮询、线路排序等。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 支持基于区域、IP地址、域名、端口、用户、应用、服务、时间等多个维度设置应用控制策略。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 支持基于对象、区域和地域维度设置安全访问控制策略，允许或拒绝特定国家或者地区的对象访问内部网络，保障业务重大时期安全可靠性。</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 支持SYN Flood、ICMP Flood、UDP Flood、DNS Flood、ARP Flood等泛洪类攻击防护，支持IP地址扫描和端口扫描攻击防护。</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具备勒索软件通信防护功能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 支持在单条安全策略中可同时启用入侵防御、防病毒、URL过滤、文件过滤、Web应用防护等安全功能。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 支持应用控制策略生命周期管理，包含安全策略的变更时间、变更类型和策略变更用户，并对变更内容记录日志，方便策略的管理和运维。</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 产品支持对常见Web应用攻击防御，攻击类型至少支持跨站脚本（XSS）攻击、SQL注入、文件包含攻击、信息泄露攻击、WEBSHELL、网站扫描、网页木马等类型，产品预定义Web应用漏洞特征库超过3320种。</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12. 支持对当前应用控制策略异常分析，包括策略风险访问、策略冗余、策略冲突、策略重合、端口放通过大等问题，并提供相关解决方案便于用户快速调优。</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13. 支持Web服务器自动侦测功能，根据Web服务器在线状态、端口使用状态、Web服务器之间的互访关系生成业务资产列表，同时展示内网资产访问的风险等级。</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14. 产品支持与终端安全软件联动管理，在防火墙产品完成终端安全策略设置和内网终端安全软件的统一管理。</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15. 支持对终端安全风险汇总展示，按照不同风险等级展示终端整体安全状况，并给出解决建议实现风险快速处置。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7</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日志审计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默认包含主机审计许可证书数量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为 50，最大可扩展审计主机许可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数 150，可用存储量 1TB，平均每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秒处理日志数（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eps）最大性能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1200。硬件规格为 2U，内存大小8G，硬盘容量 64G minisata+1T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SATA*2，电源为单电源，接口为 6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千兆电口。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功能参数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支持通过SSL加密对数据传输等进行处理、采用B/S架构，HTTPS访问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 支持各类设备的日志采集要求，主要包括：安全设备：国内主流防火墙； 操作系统：Linux、Windows、Windows Server、Unix等操作系统；数据库：Oracle、MySQL、SQLServer等；应用系统：如Apache、Tomcat、IIS、Weblogic等；网络设备：主流的路由器、交换机、负载均衡等网络设备等主流网络设备</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 支持对日志格式进行标准化操作时，不破坏原始日志内容。从不同设备或系统的日志中抽取相关片段准确和完整地映射至日志的标准字段中，统一格式。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 支持定义部门和人员的对应关系，支持定义人员与账号的对应关系。</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 支持根据设备类型，按日期展示日志的接入情况，包含不同级别日志数量统计；支持精确的专家模式查询，根据页面的指导提示，通过组合查询表达式完成精确查询</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 支持HTTP网页标题、BBS、威胁情报、DGA、搜索关键词的网络会话分类展现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 支持全球地理位置库，支持不同设备相同IP的日志识别。</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支持DNS、DGA、解码错误、解码失败、解码超时的网络会话分类展现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 支持全文检索功能，能对系统内的对象提供全文检索功能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 支持关联、审计策略命中后定义告警，响应方式包括：SYSLOG、邮件、自定义命令行。</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 支持TLS会话、数据库会话、邮件会话、FTP会话、Telnet会话，即时通讯会话的展现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12. 支持列表的方式展示告警；告警声音设置；告警过滤策略；支持实时监控，滚动显示实时的日志接入信息。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8</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OSM-堡垒机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默认包含运维授权数为 50，最大可扩展资产数 150，图形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运维最大并发数 100，字符运维最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大并发数 200。硬件规格为 1U，内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存大小 4G，硬盘容量 1T SATA，单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电源，接口为 6 千兆电口。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功能参数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支持通过协议前置机进行协议扩展，至少支持扩展KVM、Vmware、数据库、http/https、CS应用等。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 支持批量导入、导出用户信息；支持用户手动添加、删除、编辑、设定角色、单独指定登陆认证方式、设定用户有效期</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 支持通过动作流配置提供广泛的应用接入支持，无论被接入的资源如何设计登录动作，通过动作流配置都可以实现单点登陆和审计接入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 内置三员角色的同时支持角色灵活自定义，可根据用户实际的管理特性或特殊的安全管理组织架构，划分管理角色的管理范畴</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 支持从windows AD域抽取用户账号作为主账号，支持一次性抽取和周期性抽取两种方式；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 支持在授权基础上自定义访问审批流程，可设置一级或多级审批人，每级审批可指定通过投票数，需逐级审批通过才可最终发起运维操作（提供设备操作界面截图证明材料并加盖原厂公章）</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 支持自定义紧急运维流程开启或关闭，紧急运维开启时，运维人员可通过紧急运维流程直接访问目标设备，系统记录为紧急运维工单，审批人员可在事后查看或审批</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支持对用户指定限制登录IP、登录时间段（可循环，如每周一到周五9：00-17：00时）等规则，以确保可信用户登陆系统。</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 支持批量导入、导出资源信息；支持手动添加、删除、编辑、查询资源，支持变更默认运维端口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 支持按授权名称、用户名称、用户账号、资源名称、资源地址、资源账号查询已授权信息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 支持命令审批规则，用户执行高危命令时需要管理员审批后才允许执行；命令审批规则可以指定运维人员、访问设备、设备账号及命令审批人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12 全面支持IPV6，设备自身可以配置IPV6地址供客户端访问，并且支持目标设备配置IPV6地址实现单点登陆和审计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9</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Tahoma"/>
                <w:color w:val="000000"/>
                <w:sz w:val="24"/>
                <w:szCs w:val="24"/>
              </w:rPr>
            </w:pPr>
            <w:r>
              <w:rPr>
                <w:rFonts w:hint="eastAsia" w:asciiTheme="minorEastAsia" w:hAnsiTheme="minorEastAsia"/>
                <w:color w:val="000000" w:themeColor="text1"/>
                <w14:textFill>
                  <w14:solidFill>
                    <w14:schemeClr w14:val="tx1"/>
                  </w14:solidFill>
                </w14:textFill>
              </w:rPr>
              <w:t>入侵检测系统</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宋体" w:hAnsi="宋体" w:eastAsia="宋体" w:cs="Tahoma"/>
                <w:color w:val="000000"/>
                <w:sz w:val="24"/>
                <w:szCs w:val="24"/>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网络层吞吐量为6Gbps，IPS 吞吐量650Mbps，并发连接数1800000，新建连接数60000。</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硬件规格：内存大小4G，硬盘容量64GB SSD，单电源，接口 6 个千兆电口。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功能参数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支持路由模式、透明网桥部署、旁路部署、单臂部署以及混合部署等多种方式；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 支持多链路出站负载，支持基于源/目的IP、源/目的端口、协议、ISP、应用类型以及国家地域来进行选路的策略路由选路功能；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 访问控制规则支持基于源／目的IP，源端口，源／目的区域，用户（组），应用/服务类型，时间组的细化控制方式，支持长连接功能并可以配置连接时长；</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 内置海量URL分类库，包含非法及不良网站、成人内容、网上购物、微博论坛等分类，实现全面高效的不良网站过滤。</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 可提供最新的威胁情报信息，能够对新爆发的流行高危漏洞进行预警和自动检测，发现问题后支持一键生成防护规则；</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 支持SYN Flood、ICMP Flood、UDP Flood、DNS Flood、ARP Flood等DoS/DDoS攻击防护；支持IP地址扫描和端口扫描防护；</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 支持蜜罐功能，定位内网感染僵尸网络病毒的真实主机IP地址；</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支持资产的自动发现以及资产脆弱性和服务器开放端口的自动识别，支持包含敏感数据业务的识别；</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 支持与安全云实现联动，当本地无法判断恶意样本、恶意域名、恶意URL时，可以实时上传到安全云脑，通过云端沙箱、威胁情报、云端黑白名单机制实现对威胁的实时阻断，针对恶意文件给出文件鉴定报告；</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 双机支持A/S，A/A方式部署；</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11. 提供完善的双机热备处理机制，支持配置同步，会话同步和用户状态同步，保证主机发生故障时，业务可以自动平滑切换到备机上运行；                    </w:t>
            </w:r>
          </w:p>
        </w:tc>
      </w:tr>
    </w:tbl>
    <w:p>
      <w:r>
        <w:br w:type="page"/>
      </w:r>
    </w:p>
    <w:p>
      <w:pPr>
        <w:bidi w:val="0"/>
        <w:rPr>
          <w:rFonts w:hint="eastAsia"/>
          <w:b/>
          <w:bCs/>
          <w:sz w:val="32"/>
          <w:szCs w:val="40"/>
          <w:lang w:val="en-US" w:eastAsia="zh-CN"/>
        </w:rPr>
      </w:pPr>
      <w:r>
        <w:rPr>
          <w:rFonts w:hint="eastAsia"/>
          <w:b/>
          <w:bCs/>
          <w:sz w:val="32"/>
          <w:szCs w:val="40"/>
          <w:lang w:val="en-US" w:eastAsia="zh-CN"/>
        </w:rPr>
        <w:t>电脑及配套设备</w:t>
      </w:r>
    </w:p>
    <w:p>
      <w:pPr>
        <w:bidi w:val="0"/>
        <w:rPr>
          <w:rFonts w:hint="eastAsia"/>
          <w:lang w:val="en-US" w:eastAsia="zh-CN"/>
        </w:rPr>
      </w:pPr>
    </w:p>
    <w:tbl>
      <w:tblPr>
        <w:tblStyle w:val="8"/>
        <w:tblW w:w="99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685"/>
        <w:gridCol w:w="1471"/>
        <w:gridCol w:w="1134"/>
        <w:gridCol w:w="709"/>
        <w:gridCol w:w="709"/>
        <w:gridCol w:w="992"/>
        <w:gridCol w:w="992"/>
        <w:gridCol w:w="3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序号</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产品名称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品牌型号</w:t>
            </w: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数量</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总结</w:t>
            </w: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参数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液晶 KVM 切换一体机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1.组合式16进1出LED多电脑KVM切换器，一套鼠键，显示器通过KVM切换器控制多台电脑主机                                2.17英寸屏幕                                   3.1U机架式                                  4.1280*1024                                   5.四合一一体机，KVM模块、KVM架、抽拉式导轨、KVM电脑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视频矩阵切换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所投设备满足视频输入输出功能需求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3</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台式工作站</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color w:val="000000" w:themeColor="text1"/>
                <w14:textFill>
                  <w14:solidFill>
                    <w14:schemeClr w14:val="tx1"/>
                  </w14:solidFill>
                </w14:textFill>
              </w:rPr>
              <w:t>10</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 CPU: Intel  I5-9400（主频 2.9GHz，9M 三级缓存）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 机箱:塔式机箱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 主板: Intel B250 系列芯片组或 Q270 系列芯片组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4. USB 接口: 8个 USB 接口、其中2 个USB3.0 接口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5. 扩展槽:扩展槽 1 个 PCI-E*16、2 个 PCI-E*1、1个 PCI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6. 内存: 8G DDR4，空闲插槽 1 个；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7. 硬盘: 1TBSATA3+128G固态，支持 1 个 M.2 固态硬盘扩展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8. 显卡:集成显卡,可扩展2G独立显卡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9. 网卡:主板集成 10/100M/1000M 自适应以太网卡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10. 声卡:集成 5.1 声道声卡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11. 电源: AC90-265V 电源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12. 键盘鼠标:光电鼠标、防水键盘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13.显示器尺寸：21.5寸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制作播出客户端主机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处理器：11代I7处理器</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内存：16GB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硬盘：512GB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网卡：802.11 AC 无线网卡+BT</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显示屏：13.3寸</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分辨率：2560*1600接口：3*USB3.1 G1、1*TYPE-C 3.1 G2、1*Hidden USB2.0、HDMI、RJ45、四合一读卡器、combo audio</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摄像头：720P高清网络摄像头（物理防窥）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特性：背光键盘，100%RGB指纹识别</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服务：一年全保一年上门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5</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联想笔记本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1、系统：支持 windows 系统；</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2、屏幕尺英寸：13 英寸；</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3、分辨率：2160*1350dpi</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4、存储容量：512GB SSD</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5、CPU 核数：四核</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6、运行内存：16GB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7、支持多点触控；重力感应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6</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音箱</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ab/>
            </w:r>
            <w:r>
              <w:rPr>
                <w:rFonts w:hint="eastAsia" w:asciiTheme="minorEastAsia" w:hAnsiTheme="minorEastAsia"/>
                <w:color w:val="000000" w:themeColor="text1"/>
                <w14:textFill>
                  <w14:solidFill>
                    <w14:schemeClr w14:val="tx1"/>
                  </w14:solidFill>
                </w14:textFill>
              </w:rPr>
              <w:t xml:space="preserve">材质：木质、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14:textFill>
                  <w14:solidFill>
                    <w14:schemeClr w14:val="tx1"/>
                  </w14:solidFill>
                </w14:textFill>
              </w:rPr>
              <w:tab/>
            </w:r>
            <w:r>
              <w:rPr>
                <w:rFonts w:hint="eastAsia" w:asciiTheme="minorEastAsia" w:hAnsiTheme="minorEastAsia"/>
                <w:color w:val="000000" w:themeColor="text1"/>
                <w14:textFill>
                  <w14:solidFill>
                    <w14:schemeClr w14:val="tx1"/>
                  </w14:solidFill>
                </w14:textFill>
              </w:rPr>
              <w:t xml:space="preserve">声道 2.0   多媒体音箱、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ab/>
            </w:r>
            <w:r>
              <w:rPr>
                <w:rFonts w:hint="eastAsia" w:asciiTheme="minorEastAsia" w:hAnsiTheme="minorEastAsia"/>
                <w:color w:val="000000" w:themeColor="text1"/>
                <w14:textFill>
                  <w14:solidFill>
                    <w14:schemeClr w14:val="tx1"/>
                  </w14:solidFill>
                </w14:textFill>
              </w:rPr>
              <w:t xml:space="preserve">旋钮控制开关功率不大于 20w、阻抗 4 欧、3.5 毫米音频接口、信噪"" 85db、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ab/>
            </w:r>
            <w:r>
              <w:rPr>
                <w:rFonts w:hint="eastAsia" w:asciiTheme="minorEastAsia" w:hAnsiTheme="minorEastAsia"/>
                <w:color w:val="000000" w:themeColor="text1"/>
                <w14:textFill>
                  <w14:solidFill>
                    <w14:schemeClr w14:val="tx1"/>
                  </w14:solidFill>
                </w14:textFill>
              </w:rPr>
              <w:t>产品尺寸（mm）85*166*125。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7</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录音话筒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1、阻抗：200Ω；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2、灵敏度：-45dB；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3、频率响应：40-16KHz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4、换能方式：驻极体</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5、前奏音灵敏度：-50dB±2dB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6、钟声提示：带钟声提示功能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7、线材配备：10米（卡农母头转6.35音频线）</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8、咪杆长度 ：390mm</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9、具备有灯环提示功能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10、传输方式有线/无线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11、电池：可充电电池，单次可支持12小时"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8</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万向话筒架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录音话筒专用话筒架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9</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鹅颈话筒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桌面式鹅颈话筒</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10</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录制调音台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1、单声道话筒接口幻像电源：+48V</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2、输出通道：2路主输出VN.L008157SY；2路REC输出；1路效果输出；1路monitor输出；1路立体声耳机输出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3、频率响应：20~20KHz±1dB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4、单声通道话筒到主输出最大增益：50dB±3dB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5、单声通道线路到主输出最大增益：30dB±3dB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6、立体声声通道线路到主输出最大增益：30dB、3dB(可选)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7、通道串音：≥-80dB @ 1KHz</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8、信噪比：≥78dB @ 1KHz 0dBu</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9、耳机输出：12dB±1.5dB @ 1KHz 32Ω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10、通道间增益差：≤2dB</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11、失真度：≤0.02% @ 0dB 1KHz</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单声道通道均衡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11</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监听耳机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耳机材质: 塑料耳机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颜色分类: 黑色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插头直径: 3.5mm</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阻抗: 40Ω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灵敏度: 96dB/mW</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频响范围: 15-22000Hz</w:t>
            </w:r>
          </w:p>
        </w:tc>
      </w:tr>
    </w:tbl>
    <w:p>
      <w:pPr>
        <w:rPr>
          <w:rFonts w:hint="default"/>
          <w:lang w:val="en-US" w:eastAsia="zh-CN"/>
        </w:rPr>
      </w:pPr>
      <w:r>
        <w:rPr>
          <w:rFonts w:hint="default"/>
          <w:lang w:val="en-US" w:eastAsia="zh-CN"/>
        </w:rPr>
        <w:br w:type="page"/>
      </w:r>
    </w:p>
    <w:p>
      <w:pPr>
        <w:bidi w:val="0"/>
        <w:rPr>
          <w:rFonts w:hint="eastAsia"/>
          <w:b/>
          <w:bCs/>
          <w:sz w:val="32"/>
          <w:szCs w:val="40"/>
          <w:lang w:val="en-US" w:eastAsia="zh-CN"/>
        </w:rPr>
      </w:pPr>
      <w:r>
        <w:rPr>
          <w:rFonts w:hint="eastAsia"/>
          <w:b/>
          <w:bCs/>
          <w:sz w:val="32"/>
          <w:szCs w:val="40"/>
          <w:lang w:val="en-US" w:eastAsia="zh-CN"/>
        </w:rPr>
        <w:t>密码设备</w:t>
      </w:r>
    </w:p>
    <w:p>
      <w:pPr>
        <w:bidi w:val="0"/>
        <w:rPr>
          <w:rFonts w:hint="eastAsia"/>
          <w:lang w:val="en-US" w:eastAsia="zh-CN"/>
        </w:rPr>
      </w:pPr>
    </w:p>
    <w:tbl>
      <w:tblPr>
        <w:tblStyle w:val="8"/>
        <w:tblW w:w="99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Layout w:type="fixed"/>
        <w:tblCellMar>
          <w:top w:w="0" w:type="dxa"/>
          <w:left w:w="10" w:type="dxa"/>
          <w:bottom w:w="0" w:type="dxa"/>
          <w:right w:w="10" w:type="dxa"/>
        </w:tblCellMar>
      </w:tblPr>
      <w:tblGrid>
        <w:gridCol w:w="685"/>
        <w:gridCol w:w="1471"/>
        <w:gridCol w:w="1134"/>
        <w:gridCol w:w="709"/>
        <w:gridCol w:w="709"/>
        <w:gridCol w:w="992"/>
        <w:gridCol w:w="992"/>
        <w:gridCol w:w="3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序号</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产品名称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品牌型号</w:t>
            </w: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数量</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总结</w:t>
            </w: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参数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998" w:hRule="atLeast"/>
          <w:jc w:val="center"/>
        </w:trPr>
        <w:tc>
          <w:tcPr>
            <w:tcW w:w="685" w:type="dxa"/>
            <w:vMerge w:val="restart"/>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w:t>
            </w:r>
          </w:p>
        </w:tc>
        <w:tc>
          <w:tcPr>
            <w:tcW w:w="1471" w:type="dxa"/>
            <w:vMerge w:val="restart"/>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安全证书服务一体机</w:t>
            </w:r>
            <w:r>
              <w:rPr>
                <w:rFonts w:hint="eastAsia" w:asciiTheme="minorEastAsia" w:hAnsiTheme="minorEastAsia"/>
                <w:color w:val="000000" w:themeColor="text1"/>
                <w:lang w:val="en-US" w:eastAsia="zh-CN"/>
                <w14:textFill>
                  <w14:solidFill>
                    <w14:schemeClr w14:val="tx1"/>
                  </w14:solidFill>
                </w14:textFill>
              </w:rPr>
              <w:t>硬件平台、密码软件、签名软件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技术参数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 支持应急广播专用国产密码算法短证书应用；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 支持国产密码算法和通用密码算法的并行应用,支持国产 SM1/SM4 等算法；支持国产 SM3 和通用SHA1/SHA256 等算法；支持国产 SM2 和通用RSA(1024 和 2048)等算法；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 采用国家密码管理局批准的硬件芯片实现各类密码算法，保证算法的高安全性，采用 WNG8 物理噪声源芯片产生高质量的真随机数作为密钥，保证密钥的高强度；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4. 支持对广播消息签名及验证，支持应急广播体系多级联动、支持安全证书链认证；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5. 提供图形化的设备管理客户端软件，可运行于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windows 系统；管理终端与设备间可通过串口或网口进行连接；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996" w:hRule="atLeast"/>
          <w:jc w:val="center"/>
        </w:trPr>
        <w:tc>
          <w:tcPr>
            <w:tcW w:w="685" w:type="dxa"/>
            <w:vMerge w:val="continue"/>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1471" w:type="dxa"/>
            <w:vMerge w:val="continue"/>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996" w:hRule="atLeast"/>
          <w:jc w:val="center"/>
        </w:trPr>
        <w:tc>
          <w:tcPr>
            <w:tcW w:w="685" w:type="dxa"/>
            <w:vMerge w:val="continue"/>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1471" w:type="dxa"/>
            <w:vMerge w:val="continue"/>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905" w:hRule="atLeast"/>
          <w:jc w:val="center"/>
        </w:trPr>
        <w:tc>
          <w:tcPr>
            <w:tcW w:w="685" w:type="dxa"/>
            <w:vMerge w:val="restart"/>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1471" w:type="dxa"/>
            <w:vMerge w:val="restart"/>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密码器（USB接口）</w:t>
            </w:r>
            <w:r>
              <w:rPr>
                <w:rFonts w:hint="eastAsia" w:asciiTheme="minorEastAsia" w:hAnsiTheme="minorEastAsia"/>
                <w:color w:val="000000" w:themeColor="text1"/>
                <w:lang w:val="en-US" w:eastAsia="zh-CN"/>
                <w14:textFill>
                  <w14:solidFill>
                    <w14:schemeClr w14:val="tx1"/>
                  </w14:solidFill>
                </w14:textFill>
              </w:rPr>
              <w:t>硬件、</w:t>
            </w:r>
            <w:r>
              <w:rPr>
                <w:rFonts w:hint="eastAsia" w:asciiTheme="minorEastAsia" w:hAnsiTheme="minorEastAsia"/>
                <w:color w:val="000000" w:themeColor="text1"/>
                <w14:textFill>
                  <w14:solidFill>
                    <w14:schemeClr w14:val="tx1"/>
                  </w14:solidFill>
                </w14:textFill>
              </w:rPr>
              <w:t>密码器（USB接口）</w:t>
            </w:r>
            <w:r>
              <w:rPr>
                <w:rFonts w:hint="eastAsia" w:asciiTheme="minorEastAsia" w:hAnsiTheme="minorEastAsia"/>
                <w:color w:val="000000" w:themeColor="text1"/>
                <w:lang w:val="en-US" w:eastAsia="zh-CN"/>
                <w14:textFill>
                  <w14:solidFill>
                    <w14:schemeClr w14:val="tx1"/>
                  </w14:solidFill>
                </w14:textFill>
              </w:rPr>
              <w:t>软件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color w:val="000000" w:themeColor="text1"/>
                <w14:textFill>
                  <w14:solidFill>
                    <w14:schemeClr w14:val="tx1"/>
                  </w14:solidFill>
                </w14:textFill>
              </w:rPr>
              <w:t>5</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技术参数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1. 支持采用 SM2\SM3\SM4 算法进行签名及验证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 支持符合《GMT0015-2012 基于 SM2 密码算法的数字证书格式规范》的数字证书管理。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 支持 IP 环境下发送端设备及接收端设备的双向认证及密钥分发协议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4. 支持短证书导入及验证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5. 支持使用短证书完成应急广播消息签名及验证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 支持多级证书信任列表创建及使用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905" w:hRule="atLeast"/>
          <w:jc w:val="center"/>
        </w:trPr>
        <w:tc>
          <w:tcPr>
            <w:tcW w:w="685" w:type="dxa"/>
            <w:vMerge w:val="continue"/>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1471" w:type="dxa"/>
            <w:vMerge w:val="continue"/>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r>
    </w:tbl>
    <w:p>
      <w:pPr>
        <w:rPr>
          <w:rFonts w:hint="default"/>
          <w:lang w:val="en-US" w:eastAsia="zh-CN"/>
        </w:rPr>
      </w:pPr>
      <w:r>
        <w:rPr>
          <w:rFonts w:hint="default"/>
          <w:lang w:val="en-US" w:eastAsia="zh-CN"/>
        </w:rPr>
        <w:br w:type="page"/>
      </w:r>
    </w:p>
    <w:p>
      <w:pPr>
        <w:bidi w:val="0"/>
        <w:rPr>
          <w:rFonts w:hint="eastAsia"/>
          <w:b/>
          <w:bCs/>
          <w:sz w:val="32"/>
          <w:szCs w:val="40"/>
          <w:lang w:val="en-US" w:eastAsia="zh-CN"/>
        </w:rPr>
      </w:pPr>
      <w:r>
        <w:rPr>
          <w:rFonts w:hint="eastAsia"/>
          <w:b/>
          <w:bCs/>
          <w:sz w:val="32"/>
          <w:szCs w:val="40"/>
          <w:lang w:val="en-US" w:eastAsia="zh-CN"/>
        </w:rPr>
        <w:t>显示设备</w:t>
      </w:r>
    </w:p>
    <w:p>
      <w:pPr>
        <w:bidi w:val="0"/>
        <w:rPr>
          <w:rFonts w:hint="eastAsia"/>
          <w:lang w:val="en-US" w:eastAsia="zh-CN"/>
        </w:rPr>
      </w:pPr>
    </w:p>
    <w:tbl>
      <w:tblPr>
        <w:tblStyle w:val="8"/>
        <w:tblW w:w="99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Layout w:type="fixed"/>
        <w:tblCellMar>
          <w:top w:w="0" w:type="dxa"/>
          <w:left w:w="10" w:type="dxa"/>
          <w:bottom w:w="0" w:type="dxa"/>
          <w:right w:w="10" w:type="dxa"/>
        </w:tblCellMar>
      </w:tblPr>
      <w:tblGrid>
        <w:gridCol w:w="685"/>
        <w:gridCol w:w="1471"/>
        <w:gridCol w:w="1134"/>
        <w:gridCol w:w="709"/>
        <w:gridCol w:w="709"/>
        <w:gridCol w:w="992"/>
        <w:gridCol w:w="992"/>
        <w:gridCol w:w="3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序号</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产品名称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品牌型号</w:t>
            </w: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数量</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总结</w:t>
            </w: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参数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LCD显示单元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1.LCD显示单元为：55“超窄边液晶屏；物理分辨率1920×1080，响应时间8ms。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2.LCD显示单元物理拼缝1.8mm，亮度600cd/㎡，</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3.对比度1400:1，图像显示清晰度950TVL，亮度鉴别等级为11级。</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4.LCD显示单元具备VGA×1，HDMI×1，DVI×1，BNC×1视频输入接口 RJ45×2，USB×1，红外控制接口×1</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5.液晶显示单元具有色坐标一致性，根据CIE1931标准色度系统，液晶显示单元色坐标误差在±0.001以内。</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6.液晶显示单元连续运行24小时，液晶表面中心温度50℃，边缘测试点与中心温差10℃。</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7.液晶显示单元具有帧宽度调节技术，通过调节画面宽度，解决输入信号四周黑边问题。</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8.LCD显示单元可在海拔最高45000ft高度，-40到50℃环境中存储72.5小时。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解码器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1.采用嵌入式架构，专用Linux系统，使用DSP解码。为了设备稳定可靠运行，不采用工控机或者PC机的X86架构。</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具有12个HDMI输出接口、1个VGA输入接口、1个DVI输入接口、2个USB口、1个语音对讲输入、1个语音对讲输出、12个音频输出、8个报警输入、8个报警输出、1个RS485接口、6个CVBS输出接口（通过转接头实现）、1个RS232接口，2个千兆网口、2个光口。样机采用AC220V电源供电。</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3.具有1个电源指示灯、1个VGA信号接入指示灯和1个DVI信号接入指示灯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4.支持对输入的视频画面进行90°、180°、270°旋转显示。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5.设备接入具有智能行为分析功能的摄像机，可解码显示智能行为分析信息，包括移动侦测、越界入侵、区域入侵、起身离开等，并上传报警信息。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6.支持黑白名单功能，可设置256个黑白名单；当设置白名单时，只允许白名单IP访问设备；当设置黑名单时，黑名单内IP无法访问设备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3</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LCD屏支架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前维护支架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仅壁挂专用；下单数量=行*列，与屏幕数量相同。含屏厚度230-245mm</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支架均采用SPCC优质冷轧钢板保障质量的源头；表面采用静电喷塑工艺，喷塑固化温度180-210度，涂层厚度80-100微米，对高防腐要求产品还可选择阴极电泳底漆工艺，防腐耐锈。</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默认参数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颜色：黑色</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弧度：0°</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LOGO：无</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表面处理：静电喷塑</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材料：SPCC高强度钢板</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厚度：160mm+屏厚"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彩色红外网络半球摄像机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"400万 星光级 1/3"" CMOS 智能半球型网络摄像机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采用深度学习硬件及算法，支持越界侦测，区域入侵侦测，进入区域侦测和离开区域侦测，支持联动闪光报警灯，联动声音报警</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最低照度: 彩色：0.005 Lux @（F1.2，AGC ON），0 Lux with IR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5</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硬盘录像机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硬件规格：</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2U标准机架式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2个HDMI，2个VGA,HDMI+VGA组内同源</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8盘位，可满配8T硬盘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2个千兆网口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2个USB2.0接口、1个USB3.0接口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1个eSATA接口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报警IO：16进4路（可选配8出）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软件性能：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输入带宽：256M</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32路H.264、H.265混合接入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最大支持8×1080P解码</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支持H.265、H.264解码</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Smart 2.0/整机热备/ANR/智能检索/智能回放/车牌检索/人脸检索/热度图/客流量统计/分时段回放/超高倍速回放/双系统备份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6</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2T 硬盘</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2T,IntelliPower,3.5",SATA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7</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24 口交换机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含 24 个百兆 PoE 电口，2 个千兆光电复用口。支持 IEEE 802.3at/af。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 IEEE 802.3、IEEE 802.3u、IEEE 802.3x。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支持红口保障。支持 8 芯供电。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支持上行口链路聚合。 支持 250 m 传输。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支持 6 KV 防浪涌（PoE 口） 支持 PoE 输出功率管理。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百兆网络接入设计。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线速转发、无阻塞设计。存储转发交换方式。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坚固式高强度金属外壳。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POE 功率 370 瓦；1-8 号端口支持视频红口保障技术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POE 远距离传输24 口</w:t>
            </w:r>
          </w:p>
        </w:tc>
      </w:tr>
    </w:tbl>
    <w:p>
      <w:pPr>
        <w:rPr>
          <w:rFonts w:hint="default"/>
          <w:lang w:val="en-US" w:eastAsia="zh-CN"/>
        </w:rPr>
      </w:pPr>
      <w:r>
        <w:rPr>
          <w:rFonts w:hint="default"/>
          <w:lang w:val="en-US" w:eastAsia="zh-CN"/>
        </w:rPr>
        <w:br w:type="page"/>
      </w:r>
    </w:p>
    <w:p>
      <w:pPr>
        <w:bidi w:val="0"/>
        <w:rPr>
          <w:rFonts w:hint="default"/>
          <w:b/>
          <w:bCs/>
          <w:sz w:val="32"/>
          <w:szCs w:val="40"/>
          <w:lang w:val="en-US" w:eastAsia="zh-CN"/>
        </w:rPr>
      </w:pPr>
      <w:r>
        <w:rPr>
          <w:rFonts w:hint="eastAsia"/>
          <w:b/>
          <w:bCs/>
          <w:sz w:val="32"/>
          <w:szCs w:val="40"/>
          <w:lang w:val="en-US" w:eastAsia="zh-CN"/>
        </w:rPr>
        <w:t>采集设备</w:t>
      </w:r>
    </w:p>
    <w:p>
      <w:pPr>
        <w:bidi w:val="0"/>
        <w:rPr>
          <w:rFonts w:hint="default"/>
          <w:lang w:val="en-US" w:eastAsia="zh-CN"/>
        </w:rPr>
      </w:pPr>
    </w:p>
    <w:tbl>
      <w:tblPr>
        <w:tblStyle w:val="8"/>
        <w:tblW w:w="99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Layout w:type="fixed"/>
        <w:tblCellMar>
          <w:top w:w="0" w:type="dxa"/>
          <w:left w:w="10" w:type="dxa"/>
          <w:bottom w:w="0" w:type="dxa"/>
          <w:right w:w="10" w:type="dxa"/>
        </w:tblCellMar>
      </w:tblPr>
      <w:tblGrid>
        <w:gridCol w:w="685"/>
        <w:gridCol w:w="1471"/>
        <w:gridCol w:w="1134"/>
        <w:gridCol w:w="709"/>
        <w:gridCol w:w="709"/>
        <w:gridCol w:w="992"/>
        <w:gridCol w:w="992"/>
        <w:gridCol w:w="3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auto"/>
          <w:tblCellMar>
            <w:top w:w="0" w:type="dxa"/>
            <w:left w:w="10" w:type="dxa"/>
            <w:bottom w:w="0" w:type="dxa"/>
            <w:right w:w="10" w:type="dxa"/>
          </w:tblCellMar>
        </w:tblPrEx>
        <w:trPr>
          <w:trHeight w:val="104"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default"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序号</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产品名称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品牌型号</w:t>
            </w: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数量</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总结</w:t>
            </w: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参数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分布式采集盒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14</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1.采用Linux系统,长时间运行不宕机;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2.无风扇静音设计,支持1U机柜独立安装或同时并排安装2台;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3.2路高清接口,支持选择任意1路编码,支持独立的平衡音频输入接口，1路高清环出口；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4.音频支持同步、异步和混音三种方式;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5.支持RS232,IR控制接口;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6.采用标准RJ45接口,1000Mbps速率,支持跨网段通讯,支持DHCP动态获取IP地址;</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7.输入信号分辨率1920x1200@60Hz,分辨率自适应;</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8.支持定码率传输,可调范围128kbps~40Mbps;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9.支持网络休眠和唤醒;</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支持远程KVM控制:鼠标光标进行多屏间跨屏、漫游时无延时,支持多屏间放大缩小;支持多权限管理;支持空闲自动锁定KVM坐席;支持快捷键隐藏/显示OSD菜单;支持把本地坐席列表中的任意视频源推送到本地或者远端的拼接大屏全屏显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11.支持web界面管理,提供快速配置设备端口,支持web端口修改密码、修改 IP 地址、网络抓包、串口收码、清除用户设置、恢复出厂设置、导出日志,升级;</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12.支持OSD字幕叠加和更换空载底图功能;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13.支持编解码协议:音频支持AAC、G.711.G.722;视频支持H.264、RTSP协议;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14.支持EDID扩展显示标识自动识别,支持HDCP，支持EDID导入与导出功能;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15.支持POE供电及外部供电互备，供电倒换过程不断电，用户无感知，倒换无延时；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16.支持通过网络、USB存储设备对编码设备进行升级操作;</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17.支持在控制界面上一键对多路信号源进行截屏，自动保存到操作台所在的存储设备；</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18.支持音视频同步拖放控制，视频源上可控制音频开关；</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19.支持对视频源进行局部放大显示功能；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20.支持窗口锁定功能，窗口内只显示固定的信号源；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分布式输出盒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1.采用Linux系统,长时间运行不宕机;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2.无风扇静音设计,支持1U机柜独立安装或同时并排安装2台;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3.2路高清接口,支持端口备份,支持2路视频同源输出，支持独立的平衡音频输出接口;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4.音频支持同步、异步和混音三种方式;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5.支持多路音频混音播放;</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6.支持RS232,IR控制接口;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7.采用标准RJ45接口,1000Mbps速率,支持跨网段通讯,支持DHCP动态获取IP地址;</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8.输出信号分辨率1920x1200@60Hz;</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9.支持自定义分辨率,范围:360x240~1920x1200,自适应传输码率范围128kbps~40Mbps;</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10.支持网络休眠和唤醒;</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11.支持显示终端任意拼接、漫游、开窗、叠加显示,单路端口支持16个实时活动视窗;</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12.支持远程KVM控制:支持跨屏、漫游鼠标操作,支持多屏间放大缩小;支持多权限管理;支持空闲自动锁定KVM坐席;支持快捷键隐藏/显示OSD菜单;支持把本地坐席列表中的任意视频源推送到本地或者远端的拼接大屏全屏显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13.支持web界面管理,提供快速配置设备端口,支持web端口修改密码、修改 IP 地址、网络抓包、串口收码、清除用户设置、恢复出厂设置、导出日志,升级;</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14.支持OSD字幕叠加和更换空载底图功能;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15.支持编解码协议:音频支持AAC、G.711.G.722;视频支持H.264/H.265、RTSP协议;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16.支持画面90°、180°、270°旋转;;</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17.支持POE供电及外部供电;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3</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控制器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8 通道,每路相互独立</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2.单通道最大支持不低于 250V 15A;</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 RS232 及 RS485 控制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4.支持通过网络 TCP、UDP、HTTP、web 控制通道开关;</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5.支持场景保存和调用;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KVM license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每个受控端配置一个 license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5</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分布式综合管理平台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1.设备采用嵌入式系统架构,稳定、安全;</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2.设备提供开放性API接口;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3.支持DANTE、AAC、G.711.H.264.H.265.TCP/UDP、RS-232/422/485、IO、Relay协议;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4.支持可视化管控,音视频信号支持实时反馈、状态同步,信号可预览可回显;</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5.支持B/S、C/S双架构,内置web管理工具,可通过Web端口灵活配置;</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6.支持web界面批量管理节点设备,控制开关机,查看配置信息;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7.支持用户权限设置,支持多用户同时在线管理,支持同一权限多终端登录;</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8.支持网络在线对所有节点设备批量进行升级维护;</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9.支持系统配置信息一键保存与加载;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10.支持登录日志、调试日志、操作日志、以及告警日志的存储与导出;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11.系统程序可在线更新升级,升级更新过程信号不掉线、不黑屏,保证系统正常运行;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6</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分布式综合管理平台嵌入软</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w:t>
            </w:r>
            <w:r>
              <w:rPr>
                <w:rFonts w:hint="eastAsia" w:ascii="微软雅黑" w:hAnsi="微软雅黑" w:eastAsia="微软雅黑" w:cs="微软雅黑"/>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基本功能</w:t>
            </w:r>
            <w:r>
              <w:rPr>
                <w:rFonts w:asciiTheme="minorEastAsia" w:hAnsiTheme="minorEastAsia"/>
                <w:color w:val="000000" w:themeColor="text1"/>
                <w14:textFill>
                  <w14:solidFill>
                    <w14:schemeClr w14:val="tx1"/>
                  </w14:solidFill>
                </w14:textFill>
              </w:rPr>
              <w:t>:</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1.支持指定一个或多个显示区域任意信号进行视频轮巡，轮巡过程中支持双击放大画面;</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2.系统可自动发现新接入设备，自动更新管控界面;</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3.支持多级权限设置功能;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4.系统程序可在线升级,过程中信号不掉线、不黑屏,保证系统正常运行;</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5.可自定义用户管理界面布局及内容,定制化设计;</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6.内置主流设备库,如摄像机、DVD、矩阵、投影机等,可直接调用;</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7.支持多种场景预案设置和调用,场景内容包括信号组合、音频模式、灯光明暗,多功能联动等;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w:t>
            </w:r>
            <w:r>
              <w:rPr>
                <w:rFonts w:hint="eastAsia" w:ascii="微软雅黑" w:hAnsi="微软雅黑" w:eastAsia="微软雅黑" w:cs="微软雅黑"/>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控制软件</w:t>
            </w:r>
            <w:r>
              <w:rPr>
                <w:rFonts w:asciiTheme="minorEastAsia" w:hAnsiTheme="minorEastAsia"/>
                <w:color w:val="000000" w:themeColor="text1"/>
                <w14:textFill>
                  <w14:solidFill>
                    <w14:schemeClr w14:val="tx1"/>
                  </w14:solidFill>
                </w14:textFill>
              </w:rPr>
              <w:t>:</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1.支持可视化界面管理,不少于30路实时动态图像预览;</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2.采用拖拽的方式将视频信号源推送到各个显示终端上;</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3.支持多点触控方式对信号进行缩放;</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4.预览和回显分辨率最大支持1080P;</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5.支持音频动态电平实时反馈、视频信号实时预览及回显;</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6.支持对任意输入输出节点的音量大小调节;</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7.支持控制DVD/机顶盒等设备的红外控制;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8.支持灯光和空调等第三方设备的控制;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9.支持IPC或模拟摄像机的云台控制;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10.支持同一终端多个权限管理,同一权限支持多终端同时管理;</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11.界面刷新:支持系统更新后,操作界面自动刷新;</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12.支持在可视化调度界面一键截屏，把当前上屏的所有源图像进行多路全高清截屏，自动保存到操作台所在的存储设备;</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13.支持多用户同时登陆,呈现不同的控制界面;</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14.支持密码自动保存及登陆</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三</w:t>
            </w:r>
            <w:r>
              <w:rPr>
                <w:rFonts w:hint="eastAsia" w:ascii="微软雅黑" w:hAnsi="微软雅黑" w:eastAsia="微软雅黑" w:cs="微软雅黑"/>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远程</w:t>
            </w:r>
            <w:r>
              <w:rPr>
                <w:rFonts w:asciiTheme="minorEastAsia" w:hAnsiTheme="minorEastAsia"/>
                <w:color w:val="000000" w:themeColor="text1"/>
                <w14:textFill>
                  <w14:solidFill>
                    <w14:schemeClr w14:val="tx1"/>
                  </w14:solidFill>
                </w14:textFill>
              </w:rPr>
              <w:t>KVM</w:t>
            </w:r>
            <w:r>
              <w:rPr>
                <w:rFonts w:hint="eastAsia" w:asciiTheme="minorEastAsia" w:hAnsiTheme="minorEastAsia"/>
                <w:color w:val="000000" w:themeColor="text1"/>
                <w14:textFill>
                  <w14:solidFill>
                    <w14:schemeClr w14:val="tx1"/>
                  </w14:solidFill>
                </w14:textFill>
              </w:rPr>
              <w:t>功能</w:t>
            </w:r>
            <w:r>
              <w:rPr>
                <w:rFonts w:asciiTheme="minorEastAsia" w:hAnsiTheme="minorEastAsia"/>
                <w:color w:val="000000" w:themeColor="text1"/>
                <w14:textFill>
                  <w14:solidFill>
                    <w14:schemeClr w14:val="tx1"/>
                  </w14:solidFill>
                </w14:textFill>
              </w:rPr>
              <w:t>:</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支持不少于500台电脑接入,单组支持不少于16台显示屏同时跨屏、漫游鼠标操作,支持多屏间放大缩小;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支持多权限管理;支持空闲自动锁定KVM坐席;</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支持快捷键隐藏/显示OSD菜单;</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支持快捷键选控不同的电脑;</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支持把本地坐席列表中的任意视频源推送到本地或者远端的拼接大屏全屏显示;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支持软KVM控制功能：通过系统控制终端（如IPAD）远程控制电脑，在控制终端回显窗口内即可打开PC端应用程序，控制其内容（修改编辑、复制粘贴、上下翻页、播放暂停等）。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四</w:t>
            </w:r>
            <w:r>
              <w:rPr>
                <w:rFonts w:hint="eastAsia" w:ascii="微软雅黑" w:hAnsi="微软雅黑" w:eastAsia="微软雅黑" w:cs="微软雅黑"/>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软编网络投屏功能</w:t>
            </w:r>
            <w:r>
              <w:rPr>
                <w:rFonts w:asciiTheme="minorEastAsia" w:hAnsiTheme="minorEastAsia"/>
                <w:color w:val="000000" w:themeColor="text1"/>
                <w14:textFill>
                  <w14:solidFill>
                    <w14:schemeClr w14:val="tx1"/>
                  </w14:solidFill>
                </w14:textFill>
              </w:rPr>
              <w:t>:</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支持WINDOWS或MAC电脑提供无线/有线网络上屏服务,支持音视频同步传输;</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最高分辨率:1920*1200/60Hz;</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信号传输码率128K-8M可调;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7</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智慧环境控制网关</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支持多平台控制,B/S 访问操作;</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 RS-232/422/485、IR、RELAY、IO、</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TCP/UDP 等多种控制方式;</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支持双向控制,支持数据智能分析; 支持多机网络级联;</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2.规格要求:</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路隔离低压继电器(常开触点) 32VDC/AC 2A;</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路数字 I/O 输入;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路红外或单向串行通讯口;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 路双向串行通讯口;</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 个 RJ45 10M/100M 以太网接口;  1 个系统复位按钮;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 w:hRule="atLeast"/>
          <w:jc w:val="center"/>
        </w:trPr>
        <w:tc>
          <w:tcPr>
            <w:tcW w:w="685"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hint="eastAsia" w:eastAsia="宋体"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8</w:t>
            </w:r>
          </w:p>
        </w:tc>
        <w:tc>
          <w:tcPr>
            <w:tcW w:w="1471"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软件编程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709"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p>
        </w:tc>
        <w:tc>
          <w:tcPr>
            <w:tcW w:w="32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1.监控系统数字对接功能（可定制）</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支持各种网络IPC摄像头接入，获取IP摄像头码流并上大屏显示，支持IP摄像头云台控制；支持ONVIF类型的摄像机接入，支持获取监控码流并上大屏显示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支持GB28181类型的监控平台接入。</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支持监控平台管理的监控流信息,以树形目录的方式呈现给用户进行操作,并支持基于终端名称的模糊搜索;</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后期增减和调整摄像机终端、无需对操作平台进行二次开发,操作平台可自动更新树形目录信息,更新周期可自定义;</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支持40000路IPC接入,500路IPC定时自动轮巡显示,支持指定拼接屏某区域窗口轮巡,而且多个窗口的监控平台摄像头轮巡可以保存成场景,支持随时调用场景来启用监控平台摄像头定时自动轮巡等功能;</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软件支持IPC直接取流,支持RTSP、ONVIF协议,通过RTP协议进行码流的收发;</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IPC信号支持在控制终端实时预览、回显</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TFkNDZmM2EwOTM3NmU3YTkwN2JlOGFiM2Y3MWQifQ=="/>
  </w:docVars>
  <w:rsids>
    <w:rsidRoot w:val="552D71C7"/>
    <w:rsid w:val="548C4C49"/>
    <w:rsid w:val="552D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keepNext/>
      <w:keepLines/>
      <w:spacing w:line="380" w:lineRule="exact"/>
      <w:ind w:firstLine="480"/>
      <w:jc w:val="left"/>
    </w:pPr>
    <w:rPr>
      <w:rFonts w:eastAsia="方正书宋简体" w:cs="Times New Roman"/>
      <w:b/>
      <w:bCs/>
      <w:sz w:val="28"/>
      <w:szCs w:val="28"/>
    </w:rPr>
  </w:style>
  <w:style w:type="paragraph" w:customStyle="1" w:styleId="3">
    <w:name w:val="BodyTextIndent"/>
    <w:basedOn w:val="1"/>
    <w:qFormat/>
    <w:uiPriority w:val="0"/>
    <w:pPr>
      <w:ind w:firstLine="200" w:firstLineChars="200"/>
    </w:pPr>
    <w:rPr>
      <w:rFonts w:ascii="仿宋_GB2312" w:eastAsia="仿宋_GB2312"/>
      <w:sz w:val="32"/>
    </w:rPr>
  </w:style>
  <w:style w:type="paragraph" w:styleId="4">
    <w:name w:val="Body Text"/>
    <w:basedOn w:val="1"/>
    <w:qFormat/>
    <w:uiPriority w:val="0"/>
    <w:pPr>
      <w:spacing w:after="120"/>
    </w:pPr>
  </w:style>
  <w:style w:type="paragraph" w:styleId="5">
    <w:name w:val="toc 3"/>
    <w:basedOn w:val="1"/>
    <w:next w:val="1"/>
    <w:unhideWhenUsed/>
    <w:qFormat/>
    <w:uiPriority w:val="39"/>
    <w:pPr>
      <w:ind w:left="840" w:leftChars="4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360" w:lineRule="auto"/>
      <w:jc w:val="center"/>
      <w:outlineLvl w:val="0"/>
    </w:pPr>
    <w:rPr>
      <w:rFonts w:ascii="Cambria" w:hAnsi="Cambria"/>
      <w:b/>
      <w:bCs/>
      <w:sz w:val="36"/>
      <w:szCs w:val="32"/>
    </w:rPr>
  </w:style>
  <w:style w:type="paragraph" w:customStyle="1" w:styleId="10">
    <w:name w:val="正文_1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10578</Words>
  <Characters>12868</Characters>
  <Lines>0</Lines>
  <Paragraphs>0</Paragraphs>
  <TotalTime>2</TotalTime>
  <ScaleCrop>false</ScaleCrop>
  <LinksUpToDate>false</LinksUpToDate>
  <CharactersWithSpaces>14685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GLz</cp:lastModifiedBy>
  <dcterms:modified xsi:type="dcterms:W3CDTF">2022-08-17T08:32:06Z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D7134E83C74D47D18AFCEE97A2868E22</vt:lpwstr>
  </property>
</Properties>
</file>